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</w:t>
      </w:r>
      <w:r>
        <w:rPr>
          <w:rFonts w:ascii="Times New Roman" w:hAnsi="Times New Roman"/>
          <w:b w:val="1"/>
          <w:sz w:val="28"/>
        </w:rPr>
        <w:t>ежегодный П</w:t>
      </w:r>
      <w:r>
        <w:rPr>
          <w:rFonts w:ascii="Times New Roman" w:hAnsi="Times New Roman"/>
          <w:b w:val="1"/>
          <w:sz w:val="28"/>
        </w:rPr>
        <w:t xml:space="preserve">лан проведения проверок </w:t>
      </w:r>
    </w:p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юридических лиц и индивидуальных предпринимателей 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осуществлении государственного надзора</w:t>
      </w:r>
    </w:p>
    <w:p w14:paraId="05000000">
      <w:pPr>
        <w:ind w:firstLine="720"/>
        <w:jc w:val="center"/>
      </w:pPr>
    </w:p>
    <w:p w14:paraId="06000000">
      <w:pPr>
        <w:tabs>
          <w:tab w:leader="none" w:pos="567" w:val="left"/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В соответствии с требованиями постановления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(пункт 7),</w:t>
      </w:r>
    </w:p>
    <w:p w14:paraId="07000000">
      <w:pPr>
        <w:pStyle w:val="Style_2"/>
        <w:tabs>
          <w:tab w:leader="none" w:pos="709" w:val="left"/>
        </w:tabs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внесены изменения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лан проведения плановых проверок юридических лиц и индивид</w:t>
      </w:r>
      <w:r>
        <w:rPr>
          <w:rFonts w:ascii="Times New Roman" w:hAnsi="Times New Roman"/>
          <w:sz w:val="28"/>
        </w:rPr>
        <w:t>уальных предпринимателей на 2020</w:t>
      </w:r>
      <w:r>
        <w:rPr>
          <w:rFonts w:ascii="Times New Roman" w:hAnsi="Times New Roman"/>
          <w:sz w:val="28"/>
        </w:rPr>
        <w:t xml:space="preserve"> год исключив из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лана проведения проверок проведение </w:t>
      </w:r>
      <w:r>
        <w:rPr>
          <w:rFonts w:ascii="Times New Roman" w:hAnsi="Times New Roman"/>
          <w:sz w:val="28"/>
        </w:rPr>
        <w:t>проверок</w:t>
      </w:r>
      <w:r>
        <w:rPr>
          <w:rFonts w:ascii="Times New Roman" w:hAnsi="Times New Roman"/>
          <w:sz w:val="28"/>
        </w:rPr>
        <w:t xml:space="preserve"> в отношении:</w:t>
      </w:r>
    </w:p>
    <w:p w14:paraId="08000000">
      <w:pPr>
        <w:spacing w:after="120"/>
        <w:ind/>
        <w:jc w:val="center"/>
        <w:rPr>
          <w:sz w:val="2"/>
        </w:rPr>
      </w:pPr>
    </w:p>
    <w:tbl>
      <w:tblPr>
        <w:tblStyle w:val="Style_3"/>
        <w:tblCellMar>
          <w:left w:type="dxa" w:w="28"/>
          <w:right w:type="dxa" w:w="28"/>
        </w:tblCellMar>
      </w:tblPr>
      <w:tblGrid>
        <w:gridCol w:w="1162"/>
        <w:gridCol w:w="851"/>
        <w:gridCol w:w="938"/>
        <w:gridCol w:w="763"/>
        <w:gridCol w:w="614"/>
        <w:gridCol w:w="614"/>
        <w:gridCol w:w="898"/>
        <w:gridCol w:w="567"/>
        <w:gridCol w:w="567"/>
        <w:gridCol w:w="993"/>
        <w:gridCol w:w="567"/>
        <w:gridCol w:w="567"/>
        <w:gridCol w:w="566"/>
        <w:gridCol w:w="1078"/>
        <w:gridCol w:w="624"/>
        <w:gridCol w:w="1275"/>
        <w:gridCol w:w="1277"/>
        <w:gridCol w:w="1842"/>
      </w:tblGrid>
      <w:tr>
        <w:tc>
          <w:tcPr>
            <w:tcW w:type="dxa" w:w="1162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09000000">
            <w:pPr>
              <w:ind w:firstLine="0" w:left="57" w:right="57"/>
              <w:jc w:val="center"/>
              <w:rPr>
                <w:spacing w:val="-4"/>
                <w:sz w:val="18"/>
                <w:vertAlign w:val="superscript"/>
              </w:rPr>
            </w:pPr>
            <w:r>
              <w:rPr>
                <w:sz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type="dxa" w:w="25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0A000000">
            <w:pPr>
              <w:spacing w:line="24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Адреса</w:t>
            </w:r>
          </w:p>
        </w:tc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0B000000">
            <w:pPr>
              <w:spacing w:line="240" w:lineRule="atLeast"/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Основной государственный регистрационный номер</w:t>
            </w:r>
          </w:p>
        </w:tc>
        <w:tc>
          <w:tcPr>
            <w:tcW w:type="dxa" w:w="6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0C000000">
            <w:pPr>
              <w:pStyle w:val="Style_4"/>
              <w:spacing w:line="240" w:lineRule="atLeast"/>
              <w:ind w:firstLine="0" w:left="113" w:right="113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Идентификационный номер налогоплательщика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0D000000">
            <w:pPr>
              <w:spacing w:line="240" w:lineRule="atLeast"/>
              <w:ind w:firstLine="0" w:left="113" w:right="113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Цель проведения  проверки</w:t>
            </w:r>
          </w:p>
        </w:tc>
        <w:tc>
          <w:tcPr>
            <w:tcW w:type="dxa" w:w="26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0E000000">
            <w:pPr>
              <w:ind w:firstLine="0" w:left="57" w:right="5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Основание проведения проверки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0F000000">
            <w:pPr>
              <w:ind w:firstLine="0" w:left="57" w:right="57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Дата начала проведения</w:t>
            </w: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проверки 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type="dxa" w:w="16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vAlign w:val="center"/>
          </w:tcPr>
          <w:p w14:paraId="10000000">
            <w:pPr>
              <w:ind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Срок</w:t>
            </w: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проведения</w:t>
            </w:r>
            <w:r>
              <w:rPr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плановой проверки</w:t>
            </w:r>
          </w:p>
        </w:tc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1000000">
            <w:pPr>
              <w:ind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Форма</w:t>
            </w:r>
            <w:r>
              <w:rPr>
                <w:sz w:val="18"/>
              </w:rPr>
              <w:t xml:space="preserve"> проведения </w:t>
            </w:r>
            <w:r>
              <w:rPr>
                <w:color w:val="000000"/>
                <w:sz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2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3000000">
            <w:pPr>
              <w:ind/>
              <w:jc w:val="center"/>
              <w:rPr>
                <w:color w:val="000000"/>
                <w:sz w:val="18"/>
                <w:vertAlign w:val="superscript"/>
              </w:rPr>
            </w:pPr>
            <w:r>
              <w:rPr>
                <w:sz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4000000">
            <w:pPr>
              <w:ind/>
              <w:jc w:val="center"/>
              <w:rPr>
                <w:color w:val="000000"/>
                <w:sz w:val="18"/>
                <w:vertAlign w:val="superscript"/>
              </w:rPr>
            </w:pPr>
            <w:r>
              <w:rPr>
                <w:sz w:val="18"/>
              </w:rPr>
              <w:t>Информация о</w:t>
            </w:r>
            <w:r>
              <w:rPr>
                <w:sz w:val="18"/>
              </w:rPr>
              <w:t xml:space="preserve">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vertAlign w:val="superscript"/>
              </w:rPr>
              <w:t>6</w:t>
            </w:r>
          </w:p>
        </w:tc>
      </w:tr>
      <w:tr>
        <w:trPr>
          <w:trHeight w:hRule="atLeast" w:val="3316"/>
        </w:trPr>
        <w:tc>
          <w:tcPr>
            <w:tcW w:type="dxa" w:w="1162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5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место (места) нахождения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юридического лица</w:t>
            </w:r>
          </w:p>
        </w:tc>
        <w:tc>
          <w:tcPr>
            <w:tcW w:type="dxa" w:w="9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6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type="dxa" w:w="7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7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 xml:space="preserve">места нахождения объектов 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6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8000000">
            <w:pPr>
              <w:ind w:firstLine="0" w:left="57" w:right="57"/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9000000">
            <w:pPr>
              <w:ind w:firstLine="0" w:left="57" w:right="5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дата окончания последней проверки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A000000">
            <w:pPr>
              <w:ind w:firstLine="0" w:left="57" w:right="57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B000000">
            <w:pPr>
              <w:ind w:firstLine="0" w:left="57" w:right="57"/>
              <w:jc w:val="center"/>
              <w:rPr>
                <w:color w:val="000000"/>
                <w:sz w:val="18"/>
                <w:vertAlign w:val="superscript"/>
              </w:rPr>
            </w:pPr>
            <w:r>
              <w:rPr>
                <w:color w:val="000000"/>
                <w:sz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vertAlign w:val="superscript"/>
              </w:rPr>
              <w:t>3</w:t>
            </w:r>
          </w:p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C000000">
            <w:pPr>
              <w:ind w:firstLine="0" w:left="57" w:right="57"/>
              <w:jc w:val="center"/>
              <w:rPr>
                <w:sz w:val="18"/>
              </w:rPr>
            </w:pPr>
            <w:r>
              <w:rPr>
                <w:color w:val="000000"/>
                <w:sz w:val="18"/>
              </w:rPr>
              <w:t>рабочих дней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 w14:paraId="1D000000">
            <w:pPr>
              <w:ind w:firstLine="0" w:left="57" w:right="57"/>
              <w:jc w:val="center"/>
              <w:rPr>
                <w:sz w:val="18"/>
              </w:rPr>
            </w:pPr>
            <w:r>
              <w:rPr>
                <w:sz w:val="18"/>
              </w:rPr>
              <w:t>рабочих часов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>(для малого и среднего предпринимательства и микропредприятий)</w:t>
            </w:r>
          </w:p>
        </w:tc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  <w:textDirection w:val="btLr"/>
            <w:vAlign w:val="center"/>
          </w:tcPr>
          <w:p/>
        </w:tc>
      </w:tr>
      <w:tr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E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Банк ВТБ (Публичное акционерное общество)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1F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г. Санкт-Петербург, пер. Дегтярный, д. 11, литер А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0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РСО-Алания </w:t>
            </w:r>
            <w:r>
              <w:rPr>
                <w:color w:val="000000"/>
                <w:sz w:val="18"/>
              </w:rPr>
              <w:t>г. Владикавказ, ул. Коцоева, 13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1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РСО-Ала</w:t>
            </w:r>
            <w:r>
              <w:rPr>
                <w:color w:val="000000"/>
                <w:sz w:val="18"/>
              </w:rPr>
              <w:t>ния г. Владикавказ, ул. Маркова</w:t>
            </w:r>
            <w:r>
              <w:rPr>
                <w:color w:val="000000"/>
                <w:sz w:val="18"/>
              </w:rPr>
              <w:t xml:space="preserve"> 1 "а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2000000">
            <w:pPr>
              <w:rPr>
                <w:sz w:val="18"/>
              </w:rPr>
            </w:pPr>
            <w:r>
              <w:rPr>
                <w:sz w:val="18"/>
              </w:rPr>
              <w:t>1027739609391</w:t>
            </w:r>
          </w:p>
        </w:tc>
        <w:tc>
          <w:tcPr>
            <w:tcW w:type="dxa" w:w="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3000000">
            <w:pPr>
              <w:rPr>
                <w:sz w:val="18"/>
              </w:rPr>
            </w:pPr>
            <w:r>
              <w:rPr>
                <w:sz w:val="18"/>
              </w:rPr>
              <w:t>7702070139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400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Надзор за соблюдением установленных требований пожарной безопасности, Федеральный закон "О пожарной безопасности" от 21.12.1994 № 69-ФЗ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5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6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7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8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9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Июнь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A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10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C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Выездная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D000000">
            <w:pPr>
              <w:spacing w:after="240"/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E00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28"/>
              <w:right w:type="dxa" w:w="28"/>
            </w:tcMar>
          </w:tcPr>
          <w:p w14:paraId="2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  <w:r>
              <w:rPr>
                <w:sz w:val="18"/>
              </w:rPr>
              <w:t xml:space="preserve"> риск (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 класс)</w:t>
            </w:r>
          </w:p>
          <w:p w14:paraId="30000000">
            <w:pPr>
              <w:ind/>
              <w:jc w:val="center"/>
              <w:rPr>
                <w:color w:val="000000"/>
                <w:sz w:val="18"/>
              </w:rPr>
            </w:pPr>
          </w:p>
        </w:tc>
      </w:tr>
    </w:tbl>
    <w:p w14:paraId="31000000">
      <w:pPr>
        <w:ind/>
        <w:jc w:val="both"/>
        <w:rPr>
          <w:sz w:val="16"/>
        </w:rPr>
      </w:pPr>
    </w:p>
    <w:sectPr>
      <w:headerReference r:id="rId1" w:type="default"/>
      <w:pgSz w:h="11907" w:w="16840"/>
      <w:pgMar w:bottom="284" w:footer="284" w:gutter="0" w:header="284" w:left="567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  <w:rPr>
        <w:sz w:val="14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footer"/>
    <w:basedOn w:val="Style_5"/>
    <w:link w:val="Style_6_ch"/>
    <w:pPr>
      <w:tabs>
        <w:tab w:leader="none" w:pos="4153" w:val="center"/>
        <w:tab w:leader="none" w:pos="8306" w:val="right"/>
      </w:tabs>
      <w:ind/>
    </w:pPr>
  </w:style>
  <w:style w:styleId="Style_6_ch" w:type="character">
    <w:name w:val="foot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Default"/>
    <w:link w:val="Style_12_ch"/>
    <w:rPr>
      <w:rFonts w:ascii="Times New Roman" w:hAnsi="Times New Roman"/>
      <w:color w:val="000000"/>
      <w:sz w:val="24"/>
    </w:rPr>
  </w:style>
  <w:style w:styleId="Style_12_ch" w:type="character">
    <w:name w:val="Default"/>
    <w:link w:val="Style_12"/>
    <w:rPr>
      <w:rFonts w:ascii="Times New Roman" w:hAnsi="Times New Roman"/>
      <w:color w:val="000000"/>
      <w:sz w:val="24"/>
    </w:rPr>
  </w:style>
  <w:style w:styleId="Style_4" w:type="paragraph">
    <w:name w:val="ConsPlusNonformat"/>
    <w:link w:val="Style_4_ch"/>
    <w:rPr>
      <w:rFonts w:ascii="Times New Roman" w:hAnsi="Times New Roman"/>
    </w:rPr>
  </w:style>
  <w:style w:styleId="Style_4_ch" w:type="character">
    <w:name w:val="ConsPlusNonformat"/>
    <w:link w:val="Style_4"/>
    <w:rPr>
      <w:rFonts w:ascii="Times New Roman" w:hAnsi="Times New Roman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toc 3"/>
    <w:next w:val="Style_5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5"/>
    <w:link w:val="Style_18_ch"/>
  </w:style>
  <w:style w:styleId="Style_18_ch" w:type="character">
    <w:name w:val="Footnote"/>
    <w:basedOn w:val="Style_5_ch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5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10"/>
    <w:next w:val="Style_5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5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2021-07-20T17:00:49Z</dcterms:modified>
</cp:coreProperties>
</file>